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ECD9" w14:textId="77777777" w:rsidR="00706471" w:rsidRDefault="00706471" w:rsidP="00706471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GEMEENTE ROTTERDAM </w:t>
      </w:r>
    </w:p>
    <w:p w14:paraId="514616B3" w14:textId="77777777" w:rsidR="00706471" w:rsidRDefault="00706471" w:rsidP="00706471">
      <w:pPr>
        <w:pStyle w:val="Default"/>
        <w:rPr>
          <w:sz w:val="19"/>
          <w:szCs w:val="19"/>
        </w:rPr>
      </w:pPr>
    </w:p>
    <w:p w14:paraId="08E1B104" w14:textId="77777777" w:rsidR="00706471" w:rsidRDefault="00706471" w:rsidP="0070647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8"/>
          <w:szCs w:val="28"/>
        </w:rPr>
      </w:pPr>
      <w:r w:rsidRPr="695A994A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Artikel 6.4: aanvraag ontheffing om op een palenligplaats gas tussen twee tankschepen onderling over te slaan</w:t>
      </w:r>
      <w:r w:rsidRPr="695A994A">
        <w:rPr>
          <w:rStyle w:val="eop"/>
          <w:rFonts w:ascii="Arial" w:hAnsi="Arial" w:cs="Arial"/>
          <w:color w:val="000000" w:themeColor="text1"/>
          <w:sz w:val="28"/>
          <w:szCs w:val="28"/>
        </w:rPr>
        <w:t> </w:t>
      </w:r>
    </w:p>
    <w:p w14:paraId="55508DB7" w14:textId="77777777" w:rsidR="00706471" w:rsidRPr="00E14D6E" w:rsidRDefault="00706471" w:rsidP="00706471">
      <w:pPr>
        <w:pStyle w:val="Geenafstand"/>
        <w:rPr>
          <w:rFonts w:ascii="Arial" w:hAnsi="Arial" w:cs="Arial"/>
          <w:b/>
          <w:sz w:val="28"/>
          <w:szCs w:val="28"/>
        </w:rPr>
      </w:pPr>
    </w:p>
    <w:p w14:paraId="0E598637" w14:textId="77777777" w:rsidR="00706471" w:rsidRDefault="00706471" w:rsidP="00706471">
      <w:pPr>
        <w:pStyle w:val="Default"/>
        <w:rPr>
          <w:sz w:val="19"/>
          <w:szCs w:val="19"/>
        </w:rPr>
      </w:pPr>
    </w:p>
    <w:p w14:paraId="1B7EB291" w14:textId="77777777" w:rsidR="00706471" w:rsidRPr="00E652B3" w:rsidRDefault="00706471" w:rsidP="00706471">
      <w:pPr>
        <w:pStyle w:val="Default"/>
        <w:rPr>
          <w:b/>
          <w:color w:val="auto"/>
          <w:sz w:val="19"/>
          <w:szCs w:val="19"/>
        </w:rPr>
      </w:pPr>
      <w:r>
        <w:rPr>
          <w:b/>
          <w:color w:val="auto"/>
          <w:sz w:val="19"/>
          <w:szCs w:val="19"/>
        </w:rPr>
        <w:t>G</w:t>
      </w:r>
      <w:r w:rsidRPr="00E652B3">
        <w:rPr>
          <w:b/>
          <w:color w:val="auto"/>
          <w:sz w:val="19"/>
          <w:szCs w:val="19"/>
        </w:rPr>
        <w:t xml:space="preserve">elet op </w:t>
      </w:r>
    </w:p>
    <w:p w14:paraId="66951C32" w14:textId="77777777" w:rsidR="00706471" w:rsidRPr="00C12232" w:rsidRDefault="00706471" w:rsidP="00706471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</w:pPr>
      <w:r w:rsidRPr="52301F05"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  <w:t>artikel 6.4 van de Havenverordening Rotterdam 2020 waarin is bepaald dat overslag van gas als bedoeld in de IGC of het ADN tussen twee tankschepen onderling is verboden;   </w:t>
      </w:r>
    </w:p>
    <w:p w14:paraId="01679ADC" w14:textId="77777777" w:rsidR="00706471" w:rsidRPr="00C12232" w:rsidRDefault="00706471" w:rsidP="00706471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</w:pPr>
      <w:r w:rsidRPr="52301F05"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  <w:t>artikel 14.1 van de Havenverordening Rotterdam 2020, waarin de verplichting is opgenomen de regels van de havenverordening na te leven;  </w:t>
      </w:r>
    </w:p>
    <w:p w14:paraId="7EACA496" w14:textId="77777777" w:rsidR="00706471" w:rsidRPr="00C12232" w:rsidRDefault="00706471" w:rsidP="00706471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</w:pPr>
      <w:r w:rsidRPr="52301F05"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  <w:t>artikel 1.9 van de Havenverordening Rotterdam 2020, in samenhang met het Besluit mandaat, volmacht en machtiging Rotterdam 20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  <w:t>21</w:t>
      </w:r>
      <w:r w:rsidRPr="52301F05">
        <w:rPr>
          <w:rFonts w:ascii="Arial" w:eastAsia="Times New Roman" w:hAnsi="Arial" w:cs="Arial"/>
          <w:color w:val="000000" w:themeColor="text1"/>
          <w:sz w:val="19"/>
          <w:szCs w:val="19"/>
          <w:lang w:eastAsia="zh-CN"/>
        </w:rPr>
        <w:t xml:space="preserve"> op basis waarvan door de havenmeester ontheffing kan worden verleend in mandaat, namens het college van burgemeester en wethouders.  </w:t>
      </w:r>
    </w:p>
    <w:p w14:paraId="40331750" w14:textId="77777777" w:rsidR="00706471" w:rsidRDefault="00706471" w:rsidP="00706471">
      <w:pPr>
        <w:pStyle w:val="Default"/>
        <w:rPr>
          <w:sz w:val="19"/>
          <w:szCs w:val="19"/>
        </w:rPr>
      </w:pPr>
    </w:p>
    <w:p w14:paraId="03123102" w14:textId="77777777" w:rsidR="00706471" w:rsidRDefault="00706471" w:rsidP="00706471">
      <w:pPr>
        <w:pStyle w:val="Default"/>
        <w:rPr>
          <w:sz w:val="19"/>
          <w:szCs w:val="19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289"/>
        <w:gridCol w:w="3789"/>
      </w:tblGrid>
      <w:tr w:rsidR="00706471" w:rsidRPr="00872C87" w14:paraId="008B5D29" w14:textId="77777777" w:rsidTr="007F2F75">
        <w:tc>
          <w:tcPr>
            <w:tcW w:w="4715" w:type="dxa"/>
          </w:tcPr>
          <w:p w14:paraId="6BEEBE24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bookmarkStart w:id="0" w:name="_Hlk7772837"/>
            <w:r w:rsidRPr="00872C87">
              <w:rPr>
                <w:sz w:val="19"/>
                <w:szCs w:val="19"/>
              </w:rPr>
              <w:t>Datum aanvraag</w:t>
            </w:r>
          </w:p>
        </w:tc>
        <w:tc>
          <w:tcPr>
            <w:tcW w:w="291" w:type="dxa"/>
          </w:tcPr>
          <w:p w14:paraId="41014F8F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6A5601AE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38E83191" w14:textId="77777777" w:rsidTr="007F2F75">
        <w:tc>
          <w:tcPr>
            <w:tcW w:w="4715" w:type="dxa"/>
          </w:tcPr>
          <w:p w14:paraId="7D81A56A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 xml:space="preserve">Tijdstip aanvraag </w:t>
            </w:r>
          </w:p>
        </w:tc>
        <w:tc>
          <w:tcPr>
            <w:tcW w:w="291" w:type="dxa"/>
          </w:tcPr>
          <w:p w14:paraId="71B3C433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187AC51A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     Uur</w:t>
            </w:r>
          </w:p>
        </w:tc>
      </w:tr>
      <w:tr w:rsidR="00706471" w:rsidRPr="00872C87" w14:paraId="76524C01" w14:textId="77777777" w:rsidTr="007F2F75">
        <w:tc>
          <w:tcPr>
            <w:tcW w:w="4715" w:type="dxa"/>
          </w:tcPr>
          <w:p w14:paraId="3EC24737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>Naam aanvrager (als kapitein of zijn vertegenwoordiger)</w:t>
            </w:r>
          </w:p>
        </w:tc>
        <w:tc>
          <w:tcPr>
            <w:tcW w:w="291" w:type="dxa"/>
          </w:tcPr>
          <w:p w14:paraId="3E32E405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416261E4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777BD139" w14:textId="77777777" w:rsidTr="007F2F75">
        <w:trPr>
          <w:trHeight w:val="64"/>
        </w:trPr>
        <w:tc>
          <w:tcPr>
            <w:tcW w:w="4715" w:type="dxa"/>
          </w:tcPr>
          <w:p w14:paraId="4E3ABCF2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>Functie</w:t>
            </w:r>
          </w:p>
        </w:tc>
        <w:tc>
          <w:tcPr>
            <w:tcW w:w="291" w:type="dxa"/>
          </w:tcPr>
          <w:p w14:paraId="3E6F700C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542A57EC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6AB53911" w14:textId="77777777" w:rsidTr="007F2F75">
        <w:tc>
          <w:tcPr>
            <w:tcW w:w="4715" w:type="dxa"/>
          </w:tcPr>
          <w:p w14:paraId="64166566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>Bedrijf</w:t>
            </w:r>
          </w:p>
        </w:tc>
        <w:tc>
          <w:tcPr>
            <w:tcW w:w="291" w:type="dxa"/>
          </w:tcPr>
          <w:p w14:paraId="4A3CF742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1FE68CD3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58291283" w14:textId="77777777" w:rsidTr="007F2F75">
        <w:tc>
          <w:tcPr>
            <w:tcW w:w="4715" w:type="dxa"/>
          </w:tcPr>
          <w:p w14:paraId="455B26C7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>Adres</w:t>
            </w:r>
          </w:p>
        </w:tc>
        <w:tc>
          <w:tcPr>
            <w:tcW w:w="291" w:type="dxa"/>
          </w:tcPr>
          <w:p w14:paraId="54EB85D2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6A79A7D9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565CADA9" w14:textId="77777777" w:rsidTr="007F2F75">
        <w:tc>
          <w:tcPr>
            <w:tcW w:w="4715" w:type="dxa"/>
          </w:tcPr>
          <w:p w14:paraId="3AB80DE5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>Fax</w:t>
            </w:r>
          </w:p>
        </w:tc>
        <w:tc>
          <w:tcPr>
            <w:tcW w:w="291" w:type="dxa"/>
          </w:tcPr>
          <w:p w14:paraId="41F9F005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2C79C3E3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6BA0E5E3" w14:textId="77777777" w:rsidTr="007F2F75">
        <w:tc>
          <w:tcPr>
            <w:tcW w:w="4715" w:type="dxa"/>
          </w:tcPr>
          <w:p w14:paraId="3C7F1033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>Email adre</w:t>
            </w:r>
            <w:r>
              <w:rPr>
                <w:sz w:val="19"/>
                <w:szCs w:val="19"/>
              </w:rPr>
              <w:t>s</w:t>
            </w:r>
          </w:p>
        </w:tc>
        <w:tc>
          <w:tcPr>
            <w:tcW w:w="291" w:type="dxa"/>
          </w:tcPr>
          <w:p w14:paraId="719D4C44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3A83C171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263B8D9F" w14:textId="77777777" w:rsidTr="007F2F75">
        <w:tc>
          <w:tcPr>
            <w:tcW w:w="4715" w:type="dxa"/>
          </w:tcPr>
          <w:p w14:paraId="16A02D81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>Gewenste ligplaats</w:t>
            </w:r>
          </w:p>
        </w:tc>
        <w:tc>
          <w:tcPr>
            <w:tcW w:w="291" w:type="dxa"/>
          </w:tcPr>
          <w:p w14:paraId="19FE610B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4EDD98CB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5EA1391F" w14:textId="77777777" w:rsidTr="007F2F75">
        <w:tc>
          <w:tcPr>
            <w:tcW w:w="4715" w:type="dxa"/>
          </w:tcPr>
          <w:p w14:paraId="55B4D97D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076900">
              <w:rPr>
                <w:sz w:val="19"/>
                <w:szCs w:val="19"/>
              </w:rPr>
              <w:t>Naam stof (proper shipping name)</w:t>
            </w:r>
          </w:p>
        </w:tc>
        <w:tc>
          <w:tcPr>
            <w:tcW w:w="291" w:type="dxa"/>
          </w:tcPr>
          <w:p w14:paraId="16086A41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5BE0EAEC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  </w:t>
            </w:r>
          </w:p>
        </w:tc>
      </w:tr>
      <w:tr w:rsidR="00706471" w:rsidRPr="00872C87" w14:paraId="5C39687F" w14:textId="77777777" w:rsidTr="007F2F75">
        <w:tc>
          <w:tcPr>
            <w:tcW w:w="4715" w:type="dxa"/>
          </w:tcPr>
          <w:p w14:paraId="6A194ED9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UN nummer</w:t>
            </w:r>
          </w:p>
        </w:tc>
        <w:tc>
          <w:tcPr>
            <w:tcW w:w="291" w:type="dxa"/>
          </w:tcPr>
          <w:p w14:paraId="67F2CCF2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68AD5241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38F19F16" w14:textId="77777777" w:rsidTr="007F2F75">
        <w:tc>
          <w:tcPr>
            <w:tcW w:w="4715" w:type="dxa"/>
          </w:tcPr>
          <w:p w14:paraId="216AA4A8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Hoeveelheid</w:t>
            </w:r>
          </w:p>
        </w:tc>
        <w:tc>
          <w:tcPr>
            <w:tcW w:w="291" w:type="dxa"/>
          </w:tcPr>
          <w:p w14:paraId="133B96AD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701035EC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                               m</w:t>
            </w:r>
            <w:r w:rsidRPr="008A5DA7">
              <w:rPr>
                <w:sz w:val="19"/>
                <w:szCs w:val="19"/>
                <w:vertAlign w:val="superscript"/>
              </w:rPr>
              <w:t>3</w:t>
            </w:r>
          </w:p>
        </w:tc>
      </w:tr>
      <w:tr w:rsidR="00706471" w:rsidRPr="00872C87" w14:paraId="3B179F94" w14:textId="77777777" w:rsidTr="007F2F75">
        <w:tc>
          <w:tcPr>
            <w:tcW w:w="4715" w:type="dxa"/>
          </w:tcPr>
          <w:p w14:paraId="2870EEAD" w14:textId="77777777" w:rsidR="00706471" w:rsidRPr="00076900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Scheepsnaam / registratie 1</w:t>
            </w:r>
          </w:p>
        </w:tc>
        <w:tc>
          <w:tcPr>
            <w:tcW w:w="291" w:type="dxa"/>
          </w:tcPr>
          <w:p w14:paraId="0F813AF7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6BBFE095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6FEC5249" w14:textId="77777777" w:rsidTr="007F2F75">
        <w:tc>
          <w:tcPr>
            <w:tcW w:w="4715" w:type="dxa"/>
          </w:tcPr>
          <w:p w14:paraId="1451B687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Scheepsnaam / registratie 2</w:t>
            </w:r>
          </w:p>
        </w:tc>
        <w:tc>
          <w:tcPr>
            <w:tcW w:w="291" w:type="dxa"/>
          </w:tcPr>
          <w:p w14:paraId="1DD410A4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6B8F34DF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3C89039F" w14:textId="77777777" w:rsidTr="007F2F75">
        <w:tc>
          <w:tcPr>
            <w:tcW w:w="4715" w:type="dxa"/>
          </w:tcPr>
          <w:p w14:paraId="581D9D59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  <w:r w:rsidRPr="00872C87">
              <w:rPr>
                <w:sz w:val="19"/>
                <w:szCs w:val="19"/>
              </w:rPr>
              <w:t xml:space="preserve">Ligduur: </w:t>
            </w:r>
          </w:p>
        </w:tc>
        <w:tc>
          <w:tcPr>
            <w:tcW w:w="291" w:type="dxa"/>
          </w:tcPr>
          <w:p w14:paraId="032A4FA7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066" w:type="dxa"/>
          </w:tcPr>
          <w:p w14:paraId="093E77DD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</w:t>
            </w:r>
            <w:r w:rsidRPr="00872C87">
              <w:rPr>
                <w:sz w:val="19"/>
                <w:szCs w:val="19"/>
              </w:rPr>
              <w:t>an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br/>
            </w:r>
            <w:r w:rsidRPr="00872C87">
              <w:rPr>
                <w:sz w:val="19"/>
                <w:szCs w:val="19"/>
              </w:rPr>
              <w:t>tot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06471" w:rsidRPr="00872C87" w14:paraId="44598823" w14:textId="77777777" w:rsidTr="007F2F75">
        <w:tc>
          <w:tcPr>
            <w:tcW w:w="4715" w:type="dxa"/>
          </w:tcPr>
          <w:p w14:paraId="6F5CCD48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291" w:type="dxa"/>
          </w:tcPr>
          <w:p w14:paraId="563C2E9A" w14:textId="77777777" w:rsidR="00706471" w:rsidRPr="00872C87" w:rsidRDefault="00706471" w:rsidP="007F2F7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066" w:type="dxa"/>
          </w:tcPr>
          <w:p w14:paraId="5DD4B611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</w:p>
        </w:tc>
      </w:tr>
      <w:bookmarkEnd w:id="0"/>
    </w:tbl>
    <w:p w14:paraId="39C87803" w14:textId="77777777" w:rsidR="00706471" w:rsidRDefault="00706471" w:rsidP="00706471">
      <w:pPr>
        <w:pStyle w:val="Default"/>
        <w:rPr>
          <w:sz w:val="19"/>
          <w:szCs w:val="19"/>
        </w:rPr>
      </w:pPr>
    </w:p>
    <w:p w14:paraId="5AB0E800" w14:textId="77777777" w:rsidR="00706471" w:rsidRDefault="00706471" w:rsidP="00706471">
      <w:pPr>
        <w:pStyle w:val="Default"/>
        <w:rPr>
          <w:sz w:val="19"/>
          <w:szCs w:val="19"/>
        </w:rPr>
      </w:pPr>
    </w:p>
    <w:p w14:paraId="4FC12AD4" w14:textId="77777777" w:rsidR="00706471" w:rsidRPr="007979BC" w:rsidRDefault="00706471" w:rsidP="00706471">
      <w:pPr>
        <w:pStyle w:val="Lijstalinea"/>
        <w:numPr>
          <w:ilvl w:val="0"/>
          <w:numId w:val="6"/>
        </w:numPr>
        <w:tabs>
          <w:tab w:val="left" w:pos="709"/>
        </w:tabs>
        <w:rPr>
          <w:sz w:val="19"/>
          <w:szCs w:val="19"/>
        </w:rPr>
      </w:pPr>
      <w:r w:rsidRPr="007979BC">
        <w:rPr>
          <w:rFonts w:ascii="Arial" w:hAnsi="Arial" w:cs="Arial"/>
          <w:sz w:val="19"/>
          <w:szCs w:val="19"/>
        </w:rPr>
        <w:t>Er is vooraf aangetoond dat zowel de communicatie tussen de schepen, wal en autoriteiten en de bekendheid met lokale omstandigheden en regels voldoende is.</w:t>
      </w:r>
    </w:p>
    <w:p w14:paraId="4094F742" w14:textId="77777777" w:rsidR="00706471" w:rsidRPr="007979BC" w:rsidRDefault="00706471" w:rsidP="00706471">
      <w:pPr>
        <w:pStyle w:val="Lijstalinea"/>
        <w:numPr>
          <w:ilvl w:val="0"/>
          <w:numId w:val="6"/>
        </w:numPr>
        <w:tabs>
          <w:tab w:val="left" w:pos="709"/>
        </w:tabs>
        <w:rPr>
          <w:rFonts w:ascii="Arial" w:hAnsi="Arial" w:cs="Arial"/>
          <w:sz w:val="19"/>
          <w:szCs w:val="19"/>
        </w:rPr>
      </w:pPr>
      <w:r w:rsidRPr="007979BC">
        <w:rPr>
          <w:rFonts w:ascii="Arial" w:hAnsi="Arial" w:cs="Arial"/>
          <w:sz w:val="19"/>
          <w:szCs w:val="19"/>
        </w:rPr>
        <w:t xml:space="preserve">Uitsluitend toegestaan indien de gezagvoerder van een van de betrokken schepen </w:t>
      </w:r>
      <w:r>
        <w:rPr>
          <w:rFonts w:ascii="Arial" w:hAnsi="Arial" w:cs="Arial"/>
          <w:sz w:val="19"/>
          <w:szCs w:val="19"/>
        </w:rPr>
        <w:t xml:space="preserve">vooraf </w:t>
      </w:r>
      <w:r w:rsidRPr="007979BC">
        <w:rPr>
          <w:rFonts w:ascii="Arial" w:hAnsi="Arial" w:cs="Arial"/>
          <w:sz w:val="19"/>
          <w:szCs w:val="19"/>
        </w:rPr>
        <w:t xml:space="preserve">aan kan tonen dat </w:t>
      </w:r>
      <w:r>
        <w:rPr>
          <w:rFonts w:ascii="Arial" w:hAnsi="Arial" w:cs="Arial"/>
          <w:sz w:val="19"/>
          <w:szCs w:val="19"/>
        </w:rPr>
        <w:t xml:space="preserve">een ter zake kundige </w:t>
      </w:r>
      <w:r w:rsidRPr="00E91BF8">
        <w:rPr>
          <w:rFonts w:ascii="Arial" w:hAnsi="Arial" w:cs="Arial"/>
          <w:i/>
          <w:iCs/>
          <w:sz w:val="19"/>
          <w:szCs w:val="19"/>
        </w:rPr>
        <w:t>person in charge</w:t>
      </w:r>
      <w:r>
        <w:rPr>
          <w:rFonts w:ascii="Arial" w:hAnsi="Arial" w:cs="Arial"/>
          <w:sz w:val="19"/>
          <w:szCs w:val="19"/>
        </w:rPr>
        <w:t xml:space="preserve"> is aangesteld (in- of extern) die</w:t>
      </w:r>
      <w:r w:rsidRPr="007979BC">
        <w:rPr>
          <w:rFonts w:ascii="Arial" w:hAnsi="Arial" w:cs="Arial"/>
          <w:sz w:val="19"/>
          <w:szCs w:val="19"/>
        </w:rPr>
        <w:t xml:space="preserve"> de taken van de STS superintendent zoals beschreven in de STS transfer guide kan uitvoeren (reg 1.6).</w:t>
      </w:r>
    </w:p>
    <w:p w14:paraId="2DDE7C90" w14:textId="77777777" w:rsidR="00706471" w:rsidRPr="007979BC" w:rsidRDefault="00706471" w:rsidP="00706471">
      <w:pPr>
        <w:pStyle w:val="Lijstalinea"/>
        <w:numPr>
          <w:ilvl w:val="0"/>
          <w:numId w:val="6"/>
        </w:numPr>
        <w:tabs>
          <w:tab w:val="left" w:pos="709"/>
        </w:tabs>
        <w:rPr>
          <w:rFonts w:ascii="Arial" w:hAnsi="Arial" w:cs="Arial"/>
          <w:sz w:val="19"/>
          <w:szCs w:val="19"/>
        </w:rPr>
      </w:pPr>
      <w:r w:rsidRPr="007979BC">
        <w:rPr>
          <w:rFonts w:ascii="Arial" w:hAnsi="Arial" w:cs="Arial"/>
          <w:sz w:val="19"/>
          <w:szCs w:val="19"/>
        </w:rPr>
        <w:t>Uitsluitend in een petroleumhaven of onder dynamisch petroleumhaven regime</w:t>
      </w:r>
    </w:p>
    <w:p w14:paraId="4B5D7522" w14:textId="77777777" w:rsidR="00706471" w:rsidRPr="007979BC" w:rsidRDefault="00706471" w:rsidP="00706471">
      <w:pPr>
        <w:pStyle w:val="Lijstalinea"/>
        <w:numPr>
          <w:ilvl w:val="0"/>
          <w:numId w:val="6"/>
        </w:numPr>
        <w:tabs>
          <w:tab w:val="left" w:pos="709"/>
        </w:tabs>
        <w:rPr>
          <w:rFonts w:ascii="Arial" w:hAnsi="Arial" w:cs="Arial"/>
          <w:sz w:val="19"/>
          <w:szCs w:val="19"/>
        </w:rPr>
      </w:pPr>
      <w:r w:rsidRPr="007979BC">
        <w:rPr>
          <w:rFonts w:ascii="Arial" w:hAnsi="Arial" w:cs="Arial"/>
          <w:sz w:val="19"/>
          <w:szCs w:val="19"/>
        </w:rPr>
        <w:t>Niet in een boeienspan</w:t>
      </w:r>
    </w:p>
    <w:p w14:paraId="5B636481" w14:textId="77777777" w:rsidR="00706471" w:rsidRPr="007979BC" w:rsidRDefault="00706471" w:rsidP="00706471">
      <w:pPr>
        <w:pStyle w:val="Lijstalinea"/>
        <w:numPr>
          <w:ilvl w:val="0"/>
          <w:numId w:val="6"/>
        </w:numPr>
        <w:tabs>
          <w:tab w:val="left" w:pos="709"/>
        </w:tabs>
        <w:rPr>
          <w:sz w:val="19"/>
          <w:szCs w:val="19"/>
        </w:rPr>
      </w:pPr>
      <w:r w:rsidRPr="007979BC">
        <w:rPr>
          <w:rFonts w:ascii="Arial" w:hAnsi="Arial" w:cs="Arial"/>
          <w:sz w:val="19"/>
          <w:szCs w:val="19"/>
        </w:rPr>
        <w:t xml:space="preserve">Uitsluitend LNG, LPG, propeen, propaan, buteen, butadiëen, isobuteen, butaan of iso-butaan, dan wel mengsels van deze stoffen </w:t>
      </w:r>
      <w:r>
        <w:rPr>
          <w:rFonts w:ascii="Arial" w:hAnsi="Arial" w:cs="Arial"/>
          <w:sz w:val="19"/>
          <w:szCs w:val="19"/>
        </w:rPr>
        <w:t>(giftige gassen zijn niet toegestaan)</w:t>
      </w:r>
      <w:r w:rsidRPr="007979BC">
        <w:rPr>
          <w:rFonts w:ascii="Arial" w:hAnsi="Arial" w:cs="Arial"/>
          <w:sz w:val="19"/>
          <w:szCs w:val="19"/>
        </w:rPr>
        <w:t xml:space="preserve">  </w:t>
      </w:r>
    </w:p>
    <w:p w14:paraId="0F1389D3" w14:textId="77777777" w:rsidR="00706471" w:rsidRPr="007979BC" w:rsidRDefault="00706471" w:rsidP="00706471">
      <w:pPr>
        <w:pStyle w:val="Lijstalinea"/>
        <w:numPr>
          <w:ilvl w:val="0"/>
          <w:numId w:val="6"/>
        </w:numPr>
        <w:tabs>
          <w:tab w:val="left" w:pos="709"/>
        </w:tabs>
        <w:rPr>
          <w:rFonts w:ascii="Arial" w:hAnsi="Arial" w:cs="Arial"/>
          <w:sz w:val="19"/>
          <w:szCs w:val="19"/>
        </w:rPr>
      </w:pPr>
      <w:r w:rsidRPr="007979BC">
        <w:rPr>
          <w:rFonts w:ascii="Arial" w:hAnsi="Arial" w:cs="Arial"/>
          <w:sz w:val="19"/>
          <w:szCs w:val="19"/>
        </w:rPr>
        <w:t xml:space="preserve">boord-boord overslag van gas en andere handelingen vinden plaats conform het gestelde in de “ship to ship transfer guide for petroleum, chemicals and liquefied gases”.  </w:t>
      </w:r>
    </w:p>
    <w:p w14:paraId="7B9B18C6" w14:textId="77777777" w:rsidR="00706471" w:rsidRDefault="00706471" w:rsidP="00706471">
      <w:pPr>
        <w:pStyle w:val="Default"/>
        <w:rPr>
          <w:sz w:val="19"/>
          <w:szCs w:val="19"/>
        </w:rPr>
      </w:pPr>
    </w:p>
    <w:p w14:paraId="08125BD2" w14:textId="77777777" w:rsidR="00706471" w:rsidRPr="006B7F75" w:rsidRDefault="00706471" w:rsidP="00706471">
      <w:pPr>
        <w:pStyle w:val="Default"/>
        <w:ind w:left="705" w:hanging="705"/>
        <w:rPr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7"/>
        <w:gridCol w:w="8117"/>
      </w:tblGrid>
      <w:tr w:rsidR="00706471" w14:paraId="03245A80" w14:textId="77777777" w:rsidTr="007F2F75">
        <w:trPr>
          <w:trHeight w:val="1294"/>
        </w:trPr>
        <w:tc>
          <w:tcPr>
            <w:tcW w:w="392" w:type="dxa"/>
            <w:shd w:val="clear" w:color="auto" w:fill="F2F2F2" w:themeFill="background1" w:themeFillShade="F2"/>
          </w:tcPr>
          <w:p w14:paraId="43592C61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14:paraId="4F085BB4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Reden van aanvraag voor ontheffing: </w:t>
            </w:r>
            <w:r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  <w:p w14:paraId="0EB2F9C3" w14:textId="77777777" w:rsidR="00706471" w:rsidRDefault="00706471" w:rsidP="007F2F75">
            <w:pPr>
              <w:pStyle w:val="Default"/>
              <w:rPr>
                <w:sz w:val="19"/>
                <w:szCs w:val="19"/>
              </w:rPr>
            </w:pPr>
          </w:p>
        </w:tc>
      </w:tr>
    </w:tbl>
    <w:p w14:paraId="24B09DDE" w14:textId="77777777" w:rsidR="00706471" w:rsidRDefault="00706471" w:rsidP="00706471">
      <w:pPr>
        <w:pStyle w:val="Default"/>
        <w:rPr>
          <w:sz w:val="19"/>
          <w:szCs w:val="19"/>
        </w:rPr>
      </w:pPr>
    </w:p>
    <w:p w14:paraId="26A51E6D" w14:textId="77777777" w:rsidR="00706471" w:rsidRDefault="00706471" w:rsidP="00706471">
      <w:pPr>
        <w:pStyle w:val="Default"/>
        <w:rPr>
          <w:sz w:val="19"/>
          <w:szCs w:val="19"/>
        </w:rPr>
      </w:pPr>
    </w:p>
    <w:p w14:paraId="278CFEBC" w14:textId="77777777" w:rsidR="00706471" w:rsidRDefault="00706471" w:rsidP="00706471">
      <w:pPr>
        <w:pStyle w:val="Default"/>
        <w:rPr>
          <w:sz w:val="19"/>
          <w:szCs w:val="19"/>
        </w:rPr>
      </w:pPr>
    </w:p>
    <w:p w14:paraId="6715428B" w14:textId="77777777" w:rsidR="00706471" w:rsidRDefault="00706471" w:rsidP="00706471">
      <w:pPr>
        <w:pStyle w:val="Default"/>
        <w:rPr>
          <w:sz w:val="19"/>
          <w:szCs w:val="19"/>
        </w:rPr>
      </w:pPr>
    </w:p>
    <w:p w14:paraId="35A6BCF1" w14:textId="77777777" w:rsidR="00706471" w:rsidRDefault="00706471" w:rsidP="00706471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Bijzonderheden: </w:t>
      </w:r>
      <w:r>
        <w:rPr>
          <w:sz w:val="19"/>
          <w:szCs w:val="19"/>
        </w:rPr>
        <w:tab/>
      </w:r>
      <w:r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9"/>
          <w:szCs w:val="19"/>
        </w:rPr>
        <w:instrText xml:space="preserve"> FORMTEXT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sz w:val="19"/>
          <w:szCs w:val="19"/>
        </w:rPr>
        <w:fldChar w:fldCharType="end"/>
      </w:r>
    </w:p>
    <w:p w14:paraId="58AB3959" w14:textId="77777777" w:rsidR="00706471" w:rsidRDefault="00706471" w:rsidP="00706471">
      <w:pPr>
        <w:pStyle w:val="Default"/>
        <w:rPr>
          <w:sz w:val="19"/>
          <w:szCs w:val="19"/>
        </w:rPr>
      </w:pPr>
    </w:p>
    <w:p w14:paraId="3BC3F655" w14:textId="77777777" w:rsidR="00706471" w:rsidRDefault="00706471" w:rsidP="00706471">
      <w:pPr>
        <w:pStyle w:val="Default"/>
        <w:rPr>
          <w:sz w:val="19"/>
          <w:szCs w:val="19"/>
        </w:rPr>
      </w:pPr>
    </w:p>
    <w:p w14:paraId="67CDDD0A" w14:textId="77777777" w:rsidR="00706471" w:rsidRDefault="00706471" w:rsidP="00706471">
      <w:pPr>
        <w:pStyle w:val="Default"/>
        <w:rPr>
          <w:sz w:val="19"/>
          <w:szCs w:val="19"/>
        </w:rPr>
      </w:pPr>
    </w:p>
    <w:p w14:paraId="5FA5B162" w14:textId="77777777" w:rsidR="00706471" w:rsidRDefault="00706471" w:rsidP="00706471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Plaats: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9"/>
          <w:szCs w:val="19"/>
        </w:rPr>
        <w:instrText xml:space="preserve"> FORMTEXT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sz w:val="19"/>
          <w:szCs w:val="19"/>
        </w:rPr>
        <w:fldChar w:fldCharType="end"/>
      </w:r>
    </w:p>
    <w:p w14:paraId="7292D3E4" w14:textId="77777777" w:rsidR="00706471" w:rsidRDefault="00706471" w:rsidP="00706471">
      <w:pPr>
        <w:pStyle w:val="Default"/>
        <w:rPr>
          <w:sz w:val="19"/>
          <w:szCs w:val="19"/>
        </w:rPr>
      </w:pPr>
    </w:p>
    <w:p w14:paraId="05D7C320" w14:textId="77777777" w:rsidR="00706471" w:rsidRDefault="00706471" w:rsidP="00706471">
      <w:pPr>
        <w:pStyle w:val="Default"/>
        <w:rPr>
          <w:sz w:val="19"/>
          <w:szCs w:val="19"/>
        </w:rPr>
      </w:pPr>
    </w:p>
    <w:p w14:paraId="41654850" w14:textId="77777777" w:rsidR="00706471" w:rsidRDefault="00706471" w:rsidP="00706471">
      <w:pPr>
        <w:pStyle w:val="Default"/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Handtekening: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9"/>
          <w:szCs w:val="19"/>
        </w:rPr>
        <w:instrText xml:space="preserve"> FORMTEXT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noProof/>
          <w:sz w:val="19"/>
          <w:szCs w:val="19"/>
        </w:rPr>
        <w:t> </w:t>
      </w:r>
      <w:r>
        <w:rPr>
          <w:sz w:val="19"/>
          <w:szCs w:val="19"/>
        </w:rPr>
        <w:fldChar w:fldCharType="end"/>
      </w:r>
    </w:p>
    <w:p w14:paraId="65940CE9" w14:textId="77777777" w:rsidR="00706471" w:rsidRDefault="00706471" w:rsidP="00706471">
      <w:pPr>
        <w:pStyle w:val="Default"/>
        <w:rPr>
          <w:b/>
          <w:bCs/>
          <w:sz w:val="19"/>
          <w:szCs w:val="19"/>
        </w:rPr>
      </w:pPr>
    </w:p>
    <w:p w14:paraId="7BC03D67" w14:textId="77777777" w:rsidR="00706471" w:rsidRDefault="00706471" w:rsidP="00706471">
      <w:pPr>
        <w:pStyle w:val="Default"/>
        <w:rPr>
          <w:b/>
          <w:bCs/>
          <w:sz w:val="19"/>
          <w:szCs w:val="19"/>
        </w:rPr>
      </w:pPr>
    </w:p>
    <w:p w14:paraId="190094CD" w14:textId="77777777" w:rsidR="00706471" w:rsidRDefault="00706471" w:rsidP="00706471">
      <w:pPr>
        <w:pStyle w:val="Default"/>
        <w:rPr>
          <w:b/>
          <w:bCs/>
          <w:sz w:val="19"/>
          <w:szCs w:val="19"/>
        </w:rPr>
      </w:pPr>
    </w:p>
    <w:p w14:paraId="46594407" w14:textId="77777777" w:rsidR="00706471" w:rsidRDefault="00706471" w:rsidP="00706471">
      <w:pPr>
        <w:pStyle w:val="Default"/>
        <w:rPr>
          <w:b/>
          <w:bCs/>
          <w:sz w:val="19"/>
          <w:szCs w:val="19"/>
        </w:rPr>
      </w:pPr>
    </w:p>
    <w:p w14:paraId="6993AC4A" w14:textId="77777777" w:rsidR="00706471" w:rsidRDefault="00706471" w:rsidP="00706471">
      <w:pPr>
        <w:pStyle w:val="Default"/>
        <w:rPr>
          <w:b/>
          <w:bCs/>
          <w:sz w:val="19"/>
          <w:szCs w:val="19"/>
        </w:rPr>
      </w:pPr>
    </w:p>
    <w:p w14:paraId="6145745D" w14:textId="77777777" w:rsidR="00706471" w:rsidRDefault="00706471" w:rsidP="00706471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Correspondentieadres: </w:t>
      </w:r>
    </w:p>
    <w:p w14:paraId="408DF9B0" w14:textId="77777777" w:rsidR="00706471" w:rsidRDefault="00706471" w:rsidP="00706471">
      <w:pPr>
        <w:pStyle w:val="Default"/>
        <w:ind w:right="180"/>
        <w:rPr>
          <w:sz w:val="19"/>
          <w:szCs w:val="19"/>
        </w:rPr>
      </w:pPr>
      <w:r>
        <w:rPr>
          <w:sz w:val="19"/>
          <w:szCs w:val="19"/>
        </w:rPr>
        <w:t xml:space="preserve">Havenbedrijf Rotterdam N.V. </w:t>
      </w:r>
    </w:p>
    <w:p w14:paraId="21B0AFFA" w14:textId="77777777" w:rsidR="00706471" w:rsidRDefault="00706471" w:rsidP="00706471">
      <w:pPr>
        <w:pStyle w:val="Default"/>
        <w:ind w:right="180"/>
        <w:rPr>
          <w:sz w:val="19"/>
          <w:szCs w:val="19"/>
        </w:rPr>
      </w:pPr>
      <w:r>
        <w:rPr>
          <w:sz w:val="19"/>
          <w:szCs w:val="19"/>
        </w:rPr>
        <w:t xml:space="preserve">Divisie Havenmeester </w:t>
      </w:r>
    </w:p>
    <w:p w14:paraId="125BD7E6" w14:textId="77777777" w:rsidR="00706471" w:rsidRDefault="00706471" w:rsidP="00706471">
      <w:pPr>
        <w:pStyle w:val="Default"/>
        <w:ind w:right="180"/>
        <w:rPr>
          <w:sz w:val="19"/>
          <w:szCs w:val="19"/>
        </w:rPr>
      </w:pPr>
      <w:r>
        <w:rPr>
          <w:sz w:val="19"/>
          <w:szCs w:val="19"/>
        </w:rPr>
        <w:t xml:space="preserve">Haven Coördinatie Centrum </w:t>
      </w:r>
    </w:p>
    <w:p w14:paraId="6876505E" w14:textId="77777777" w:rsidR="00706471" w:rsidRDefault="00706471" w:rsidP="00706471">
      <w:pPr>
        <w:pStyle w:val="Default"/>
        <w:ind w:right="180"/>
        <w:rPr>
          <w:sz w:val="19"/>
          <w:szCs w:val="19"/>
        </w:rPr>
      </w:pPr>
      <w:r>
        <w:rPr>
          <w:sz w:val="19"/>
          <w:szCs w:val="19"/>
        </w:rPr>
        <w:t xml:space="preserve">tel : 010-252 1000 </w:t>
      </w:r>
    </w:p>
    <w:p w14:paraId="1DF620BC" w14:textId="77777777" w:rsidR="00706471" w:rsidRDefault="00706471" w:rsidP="00706471">
      <w:pPr>
        <w:pStyle w:val="Default"/>
        <w:ind w:right="180"/>
        <w:rPr>
          <w:sz w:val="19"/>
          <w:szCs w:val="19"/>
        </w:rPr>
      </w:pPr>
      <w:r>
        <w:rPr>
          <w:sz w:val="19"/>
          <w:szCs w:val="19"/>
        </w:rPr>
        <w:t xml:space="preserve">fax : 010-252 1600 </w:t>
      </w:r>
    </w:p>
    <w:p w14:paraId="06528612" w14:textId="77777777" w:rsidR="00706471" w:rsidRDefault="00706471" w:rsidP="00706471">
      <w:pPr>
        <w:pStyle w:val="Default"/>
        <w:ind w:right="180"/>
        <w:rPr>
          <w:sz w:val="19"/>
          <w:szCs w:val="19"/>
        </w:rPr>
      </w:pPr>
      <w:r>
        <w:rPr>
          <w:sz w:val="19"/>
          <w:szCs w:val="19"/>
        </w:rPr>
        <w:t xml:space="preserve">vhf : Kanaal 14 </w:t>
      </w:r>
    </w:p>
    <w:p w14:paraId="26EE15BD" w14:textId="77777777" w:rsidR="00706471" w:rsidRDefault="00706471" w:rsidP="00706471">
      <w:pPr>
        <w:pStyle w:val="Default"/>
        <w:ind w:right="180"/>
        <w:rPr>
          <w:sz w:val="19"/>
          <w:szCs w:val="19"/>
        </w:rPr>
      </w:pPr>
      <w:r>
        <w:rPr>
          <w:sz w:val="19"/>
          <w:szCs w:val="19"/>
        </w:rPr>
        <w:t xml:space="preserve">HCC@portofrotterdam.com </w:t>
      </w:r>
    </w:p>
    <w:p w14:paraId="16C4CC27" w14:textId="77777777" w:rsidR="00706471" w:rsidRPr="00B72F26" w:rsidRDefault="00706471" w:rsidP="00706471"/>
    <w:sectPr w:rsidR="00706471" w:rsidRPr="00B72F26" w:rsidSect="002A70F0">
      <w:headerReference w:type="default" r:id="rId11"/>
      <w:footerReference w:type="default" r:id="rId12"/>
      <w:headerReference w:type="first" r:id="rId13"/>
      <w:pgSz w:w="11906" w:h="16838" w:code="9"/>
      <w:pgMar w:top="2892" w:right="1361" w:bottom="1531" w:left="2041" w:header="708" w:footer="737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8031" w14:textId="77777777" w:rsidR="000F6095" w:rsidRDefault="000F6095">
      <w:r>
        <w:separator/>
      </w:r>
    </w:p>
  </w:endnote>
  <w:endnote w:type="continuationSeparator" w:id="0">
    <w:p w14:paraId="6C65604A" w14:textId="77777777" w:rsidR="000F6095" w:rsidRDefault="000F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3907" w14:textId="77777777" w:rsidR="00270B9E" w:rsidRDefault="00C45D82">
    <w:pPr>
      <w:pStyle w:val="KopVoet"/>
      <w:rPr>
        <w:lang w:val="en-US"/>
      </w:rPr>
    </w:pPr>
    <w:r>
      <w:rPr>
        <w:lang w:val="en-US"/>
      </w:rPr>
      <w:tab/>
    </w:r>
    <w:r w:rsidR="00341AD1">
      <w:rPr>
        <w:lang w:val="en-US"/>
      </w:rPr>
      <w:tab/>
    </w:r>
    <w:r w:rsidR="00341AD1">
      <w:rPr>
        <w:lang w:val="en-US"/>
      </w:rPr>
      <w:tab/>
    </w:r>
    <w:r w:rsidR="00341AD1">
      <w:rPr>
        <w:lang w:val="en-US"/>
      </w:rPr>
      <w:tab/>
    </w:r>
  </w:p>
  <w:p w14:paraId="4A23BA7A" w14:textId="77777777" w:rsidR="00C45D82" w:rsidRPr="00833ACA" w:rsidRDefault="00341AD1">
    <w:pPr>
      <w:pStyle w:val="KopVoet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BB81" w14:textId="77777777" w:rsidR="000F6095" w:rsidRDefault="000F6095">
      <w:r>
        <w:separator/>
      </w:r>
    </w:p>
  </w:footnote>
  <w:footnote w:type="continuationSeparator" w:id="0">
    <w:p w14:paraId="2DB39B74" w14:textId="77777777" w:rsidR="000F6095" w:rsidRDefault="000F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4BB2" w14:textId="77777777" w:rsidR="00C45D82" w:rsidRDefault="00D06944">
    <w:pPr>
      <w:pStyle w:val="KopVoe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02D41CC7" wp14:editId="1E60BECF">
          <wp:simplePos x="0" y="0"/>
          <wp:positionH relativeFrom="page">
            <wp:posOffset>880745</wp:posOffset>
          </wp:positionH>
          <wp:positionV relativeFrom="page">
            <wp:posOffset>664845</wp:posOffset>
          </wp:positionV>
          <wp:extent cx="2063750" cy="647700"/>
          <wp:effectExtent l="0" t="0" r="0" b="0"/>
          <wp:wrapSquare wrapText="bothSides"/>
          <wp:docPr id="2" name="Afbeelding 2" descr="Logo_Word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ord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82"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8F71" w14:textId="77777777" w:rsidR="00C45D82" w:rsidRDefault="00D0694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0084CDBE" wp14:editId="01D5A188">
          <wp:simplePos x="0" y="0"/>
          <wp:positionH relativeFrom="page">
            <wp:posOffset>728345</wp:posOffset>
          </wp:positionH>
          <wp:positionV relativeFrom="page">
            <wp:posOffset>512445</wp:posOffset>
          </wp:positionV>
          <wp:extent cx="2063750" cy="647700"/>
          <wp:effectExtent l="0" t="0" r="0" b="0"/>
          <wp:wrapSquare wrapText="bothSides"/>
          <wp:docPr id="42" name="Afbeelding 42" descr="Logo_Word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ord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0BFE"/>
    <w:multiLevelType w:val="hybridMultilevel"/>
    <w:tmpl w:val="66EE1C7A"/>
    <w:lvl w:ilvl="0" w:tplc="DB8E8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5DD"/>
    <w:multiLevelType w:val="hybridMultilevel"/>
    <w:tmpl w:val="CFC09F5A"/>
    <w:lvl w:ilvl="0" w:tplc="DB8E8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56298"/>
    <w:multiLevelType w:val="hybridMultilevel"/>
    <w:tmpl w:val="4944160C"/>
    <w:lvl w:ilvl="0" w:tplc="DB8E8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A54521"/>
    <w:multiLevelType w:val="hybridMultilevel"/>
    <w:tmpl w:val="79341FA8"/>
    <w:lvl w:ilvl="0" w:tplc="AAE467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22730"/>
    <w:multiLevelType w:val="hybridMultilevel"/>
    <w:tmpl w:val="4754E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E3787"/>
    <w:multiLevelType w:val="hybridMultilevel"/>
    <w:tmpl w:val="D88E5B34"/>
    <w:lvl w:ilvl="0" w:tplc="DB8E8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130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668271">
    <w:abstractNumId w:val="5"/>
  </w:num>
  <w:num w:numId="3" w16cid:durableId="584190197">
    <w:abstractNumId w:val="2"/>
  </w:num>
  <w:num w:numId="4" w16cid:durableId="768546241">
    <w:abstractNumId w:val="1"/>
  </w:num>
  <w:num w:numId="5" w16cid:durableId="1380518266">
    <w:abstractNumId w:val="0"/>
  </w:num>
  <w:num w:numId="6" w16cid:durableId="10731436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 "/>
  </w:docVars>
  <w:rsids>
    <w:rsidRoot w:val="000F6095"/>
    <w:rsid w:val="000014D2"/>
    <w:rsid w:val="00004C1F"/>
    <w:rsid w:val="00006203"/>
    <w:rsid w:val="00021F4B"/>
    <w:rsid w:val="000314D4"/>
    <w:rsid w:val="00036082"/>
    <w:rsid w:val="00036CB2"/>
    <w:rsid w:val="00044C1A"/>
    <w:rsid w:val="00047924"/>
    <w:rsid w:val="00051B48"/>
    <w:rsid w:val="00052364"/>
    <w:rsid w:val="00055C43"/>
    <w:rsid w:val="00057E3B"/>
    <w:rsid w:val="000650A7"/>
    <w:rsid w:val="00077B8C"/>
    <w:rsid w:val="0008175A"/>
    <w:rsid w:val="000864B4"/>
    <w:rsid w:val="00086D92"/>
    <w:rsid w:val="00091650"/>
    <w:rsid w:val="00095432"/>
    <w:rsid w:val="00096B12"/>
    <w:rsid w:val="00096E1C"/>
    <w:rsid w:val="0009709F"/>
    <w:rsid w:val="000A227C"/>
    <w:rsid w:val="000A5B7E"/>
    <w:rsid w:val="000A5CD4"/>
    <w:rsid w:val="000B1AFA"/>
    <w:rsid w:val="000B459C"/>
    <w:rsid w:val="000B51C3"/>
    <w:rsid w:val="000C2254"/>
    <w:rsid w:val="000C2CEA"/>
    <w:rsid w:val="000D0C49"/>
    <w:rsid w:val="000D18AE"/>
    <w:rsid w:val="000D7574"/>
    <w:rsid w:val="000E27F1"/>
    <w:rsid w:val="000E374C"/>
    <w:rsid w:val="000E4971"/>
    <w:rsid w:val="000E586C"/>
    <w:rsid w:val="000F21F6"/>
    <w:rsid w:val="000F6095"/>
    <w:rsid w:val="000F645C"/>
    <w:rsid w:val="000F6845"/>
    <w:rsid w:val="00100838"/>
    <w:rsid w:val="00100DA6"/>
    <w:rsid w:val="001102D4"/>
    <w:rsid w:val="00115D26"/>
    <w:rsid w:val="00123C8F"/>
    <w:rsid w:val="0012594B"/>
    <w:rsid w:val="00131ABC"/>
    <w:rsid w:val="00150E2D"/>
    <w:rsid w:val="001519AB"/>
    <w:rsid w:val="00153698"/>
    <w:rsid w:val="00157C16"/>
    <w:rsid w:val="00162FFD"/>
    <w:rsid w:val="001642CD"/>
    <w:rsid w:val="001743C7"/>
    <w:rsid w:val="0017727C"/>
    <w:rsid w:val="00180AD6"/>
    <w:rsid w:val="00182015"/>
    <w:rsid w:val="001A7FF2"/>
    <w:rsid w:val="001B0384"/>
    <w:rsid w:val="001B3FBD"/>
    <w:rsid w:val="001B5CE4"/>
    <w:rsid w:val="001C2575"/>
    <w:rsid w:val="001D0CFF"/>
    <w:rsid w:val="001D3B7E"/>
    <w:rsid w:val="001E30E5"/>
    <w:rsid w:val="001E6EBF"/>
    <w:rsid w:val="001E7EF6"/>
    <w:rsid w:val="001F4E5C"/>
    <w:rsid w:val="001F5167"/>
    <w:rsid w:val="001F6650"/>
    <w:rsid w:val="0020043E"/>
    <w:rsid w:val="00200D70"/>
    <w:rsid w:val="00203BAA"/>
    <w:rsid w:val="002063BC"/>
    <w:rsid w:val="00210350"/>
    <w:rsid w:val="002222CD"/>
    <w:rsid w:val="002239A3"/>
    <w:rsid w:val="00225661"/>
    <w:rsid w:val="00227737"/>
    <w:rsid w:val="002506D4"/>
    <w:rsid w:val="0025371A"/>
    <w:rsid w:val="0025392B"/>
    <w:rsid w:val="00253C17"/>
    <w:rsid w:val="00257B49"/>
    <w:rsid w:val="0026595D"/>
    <w:rsid w:val="00266C2A"/>
    <w:rsid w:val="00270B9E"/>
    <w:rsid w:val="00275FFE"/>
    <w:rsid w:val="0027685B"/>
    <w:rsid w:val="00280059"/>
    <w:rsid w:val="00282E50"/>
    <w:rsid w:val="00290A58"/>
    <w:rsid w:val="002A70F0"/>
    <w:rsid w:val="002B2C6B"/>
    <w:rsid w:val="002B3EE4"/>
    <w:rsid w:val="002B5C03"/>
    <w:rsid w:val="002B73DB"/>
    <w:rsid w:val="002D1D08"/>
    <w:rsid w:val="002D4D8A"/>
    <w:rsid w:val="002E2599"/>
    <w:rsid w:val="002E6AC2"/>
    <w:rsid w:val="002E6C0B"/>
    <w:rsid w:val="002F15F8"/>
    <w:rsid w:val="002F2DA4"/>
    <w:rsid w:val="002F71C6"/>
    <w:rsid w:val="002F7E0B"/>
    <w:rsid w:val="00307188"/>
    <w:rsid w:val="003079AB"/>
    <w:rsid w:val="003117F6"/>
    <w:rsid w:val="00313B6E"/>
    <w:rsid w:val="0031461C"/>
    <w:rsid w:val="00320EE0"/>
    <w:rsid w:val="003223EE"/>
    <w:rsid w:val="00324351"/>
    <w:rsid w:val="00327E11"/>
    <w:rsid w:val="003309BE"/>
    <w:rsid w:val="003361EB"/>
    <w:rsid w:val="00340F1B"/>
    <w:rsid w:val="00341AD1"/>
    <w:rsid w:val="00341CAA"/>
    <w:rsid w:val="0034282D"/>
    <w:rsid w:val="00347545"/>
    <w:rsid w:val="00353F97"/>
    <w:rsid w:val="00360FDB"/>
    <w:rsid w:val="003630E6"/>
    <w:rsid w:val="003639E3"/>
    <w:rsid w:val="0038424D"/>
    <w:rsid w:val="003843A8"/>
    <w:rsid w:val="003859CD"/>
    <w:rsid w:val="00386259"/>
    <w:rsid w:val="0039166E"/>
    <w:rsid w:val="00391CB7"/>
    <w:rsid w:val="00392F74"/>
    <w:rsid w:val="00396F8D"/>
    <w:rsid w:val="003A0DAF"/>
    <w:rsid w:val="003A1F67"/>
    <w:rsid w:val="003A2DB1"/>
    <w:rsid w:val="003B3BFE"/>
    <w:rsid w:val="003B564D"/>
    <w:rsid w:val="003C039A"/>
    <w:rsid w:val="003C5094"/>
    <w:rsid w:val="003C7646"/>
    <w:rsid w:val="003D161F"/>
    <w:rsid w:val="003D37A3"/>
    <w:rsid w:val="003D4F40"/>
    <w:rsid w:val="003E2B4C"/>
    <w:rsid w:val="003F0C5B"/>
    <w:rsid w:val="003F21A1"/>
    <w:rsid w:val="00405729"/>
    <w:rsid w:val="00407FAF"/>
    <w:rsid w:val="00414F98"/>
    <w:rsid w:val="00415C5E"/>
    <w:rsid w:val="00421EAE"/>
    <w:rsid w:val="00422D0F"/>
    <w:rsid w:val="00425A60"/>
    <w:rsid w:val="00431E58"/>
    <w:rsid w:val="00432FC4"/>
    <w:rsid w:val="00434C28"/>
    <w:rsid w:val="00435048"/>
    <w:rsid w:val="00437E17"/>
    <w:rsid w:val="00444C2A"/>
    <w:rsid w:val="00445B5F"/>
    <w:rsid w:val="0044773B"/>
    <w:rsid w:val="00453B33"/>
    <w:rsid w:val="00455DAA"/>
    <w:rsid w:val="00460A03"/>
    <w:rsid w:val="00465D1C"/>
    <w:rsid w:val="00466C18"/>
    <w:rsid w:val="00467760"/>
    <w:rsid w:val="00470382"/>
    <w:rsid w:val="004707E3"/>
    <w:rsid w:val="00473ED5"/>
    <w:rsid w:val="00476325"/>
    <w:rsid w:val="0048387A"/>
    <w:rsid w:val="00493200"/>
    <w:rsid w:val="0049582B"/>
    <w:rsid w:val="00496B24"/>
    <w:rsid w:val="004A65A0"/>
    <w:rsid w:val="004B2255"/>
    <w:rsid w:val="004B45B7"/>
    <w:rsid w:val="004C2C7C"/>
    <w:rsid w:val="004C2EB1"/>
    <w:rsid w:val="004D45CA"/>
    <w:rsid w:val="004D4F71"/>
    <w:rsid w:val="004D56FA"/>
    <w:rsid w:val="004E1120"/>
    <w:rsid w:val="004E548D"/>
    <w:rsid w:val="00500261"/>
    <w:rsid w:val="00506E8D"/>
    <w:rsid w:val="00511AB2"/>
    <w:rsid w:val="00526CDB"/>
    <w:rsid w:val="005356AC"/>
    <w:rsid w:val="00536CC1"/>
    <w:rsid w:val="005450BE"/>
    <w:rsid w:val="00551CAB"/>
    <w:rsid w:val="005537E3"/>
    <w:rsid w:val="00553F79"/>
    <w:rsid w:val="00555B49"/>
    <w:rsid w:val="00556A56"/>
    <w:rsid w:val="005574B8"/>
    <w:rsid w:val="0056212A"/>
    <w:rsid w:val="005622D1"/>
    <w:rsid w:val="0056377F"/>
    <w:rsid w:val="005647F3"/>
    <w:rsid w:val="00565027"/>
    <w:rsid w:val="00567C20"/>
    <w:rsid w:val="0057296A"/>
    <w:rsid w:val="00572CA9"/>
    <w:rsid w:val="005753C7"/>
    <w:rsid w:val="005769FD"/>
    <w:rsid w:val="005776EE"/>
    <w:rsid w:val="00583027"/>
    <w:rsid w:val="005914D9"/>
    <w:rsid w:val="00592FF4"/>
    <w:rsid w:val="005942DC"/>
    <w:rsid w:val="00595907"/>
    <w:rsid w:val="00595A89"/>
    <w:rsid w:val="00597AD0"/>
    <w:rsid w:val="00597AED"/>
    <w:rsid w:val="005A20C4"/>
    <w:rsid w:val="005A5AC0"/>
    <w:rsid w:val="005B19F1"/>
    <w:rsid w:val="005B2D75"/>
    <w:rsid w:val="005B56BB"/>
    <w:rsid w:val="005C3EF6"/>
    <w:rsid w:val="005D0209"/>
    <w:rsid w:val="005E36D4"/>
    <w:rsid w:val="005E416E"/>
    <w:rsid w:val="005E4927"/>
    <w:rsid w:val="005E4A73"/>
    <w:rsid w:val="005F05F6"/>
    <w:rsid w:val="005F2196"/>
    <w:rsid w:val="005F2FCD"/>
    <w:rsid w:val="005F333D"/>
    <w:rsid w:val="006016A6"/>
    <w:rsid w:val="00605B4E"/>
    <w:rsid w:val="00606A2B"/>
    <w:rsid w:val="00611BB4"/>
    <w:rsid w:val="006143B9"/>
    <w:rsid w:val="00622EFD"/>
    <w:rsid w:val="006233FB"/>
    <w:rsid w:val="006267FE"/>
    <w:rsid w:val="00632E31"/>
    <w:rsid w:val="00637C9B"/>
    <w:rsid w:val="006415E5"/>
    <w:rsid w:val="0064236D"/>
    <w:rsid w:val="00642AD8"/>
    <w:rsid w:val="00643750"/>
    <w:rsid w:val="00650A04"/>
    <w:rsid w:val="0065687E"/>
    <w:rsid w:val="00660104"/>
    <w:rsid w:val="00663DE6"/>
    <w:rsid w:val="00667612"/>
    <w:rsid w:val="00671366"/>
    <w:rsid w:val="00671634"/>
    <w:rsid w:val="006755FE"/>
    <w:rsid w:val="006779A7"/>
    <w:rsid w:val="00687396"/>
    <w:rsid w:val="00692CF4"/>
    <w:rsid w:val="00693A67"/>
    <w:rsid w:val="0069574D"/>
    <w:rsid w:val="00695C6D"/>
    <w:rsid w:val="0069673B"/>
    <w:rsid w:val="006A2A80"/>
    <w:rsid w:val="006A5A7D"/>
    <w:rsid w:val="006B0BCF"/>
    <w:rsid w:val="006B3226"/>
    <w:rsid w:val="006D310F"/>
    <w:rsid w:val="006E3767"/>
    <w:rsid w:val="006E6905"/>
    <w:rsid w:val="00706471"/>
    <w:rsid w:val="007116D6"/>
    <w:rsid w:val="00711710"/>
    <w:rsid w:val="0071369B"/>
    <w:rsid w:val="00716CA8"/>
    <w:rsid w:val="00720FCB"/>
    <w:rsid w:val="0072145C"/>
    <w:rsid w:val="00723213"/>
    <w:rsid w:val="0073384B"/>
    <w:rsid w:val="00742E19"/>
    <w:rsid w:val="00743EE2"/>
    <w:rsid w:val="00746F69"/>
    <w:rsid w:val="0075483B"/>
    <w:rsid w:val="00755F59"/>
    <w:rsid w:val="0076176D"/>
    <w:rsid w:val="00765A51"/>
    <w:rsid w:val="00771E27"/>
    <w:rsid w:val="007804FA"/>
    <w:rsid w:val="0079021A"/>
    <w:rsid w:val="0079046D"/>
    <w:rsid w:val="0079153F"/>
    <w:rsid w:val="007A06FA"/>
    <w:rsid w:val="007A1A63"/>
    <w:rsid w:val="007A1D1C"/>
    <w:rsid w:val="007A44D7"/>
    <w:rsid w:val="007B0025"/>
    <w:rsid w:val="007C262E"/>
    <w:rsid w:val="007C37E3"/>
    <w:rsid w:val="007C3BF6"/>
    <w:rsid w:val="007C3DC7"/>
    <w:rsid w:val="007C3FEB"/>
    <w:rsid w:val="007C4FC9"/>
    <w:rsid w:val="007D0274"/>
    <w:rsid w:val="007D51E9"/>
    <w:rsid w:val="007D58C1"/>
    <w:rsid w:val="007D6498"/>
    <w:rsid w:val="007E16DA"/>
    <w:rsid w:val="007E66D9"/>
    <w:rsid w:val="007F2782"/>
    <w:rsid w:val="007F6A2C"/>
    <w:rsid w:val="00806419"/>
    <w:rsid w:val="00807865"/>
    <w:rsid w:val="00810717"/>
    <w:rsid w:val="008137BF"/>
    <w:rsid w:val="0082507D"/>
    <w:rsid w:val="008256CA"/>
    <w:rsid w:val="00825E1E"/>
    <w:rsid w:val="00827BE2"/>
    <w:rsid w:val="00833942"/>
    <w:rsid w:val="00833ACA"/>
    <w:rsid w:val="00833BFE"/>
    <w:rsid w:val="00853C06"/>
    <w:rsid w:val="00855EBF"/>
    <w:rsid w:val="00857F6B"/>
    <w:rsid w:val="00863499"/>
    <w:rsid w:val="00863FEF"/>
    <w:rsid w:val="00866014"/>
    <w:rsid w:val="00867851"/>
    <w:rsid w:val="00874222"/>
    <w:rsid w:val="00880E8D"/>
    <w:rsid w:val="00886AFE"/>
    <w:rsid w:val="00896955"/>
    <w:rsid w:val="008A51FF"/>
    <w:rsid w:val="008A7B2D"/>
    <w:rsid w:val="008B6D79"/>
    <w:rsid w:val="008C378A"/>
    <w:rsid w:val="008C54D8"/>
    <w:rsid w:val="008D2BF7"/>
    <w:rsid w:val="008D3789"/>
    <w:rsid w:val="008D389F"/>
    <w:rsid w:val="008D3F26"/>
    <w:rsid w:val="008E1F48"/>
    <w:rsid w:val="008E4AF8"/>
    <w:rsid w:val="008E5879"/>
    <w:rsid w:val="008F7E20"/>
    <w:rsid w:val="00904E03"/>
    <w:rsid w:val="00905C1E"/>
    <w:rsid w:val="00906489"/>
    <w:rsid w:val="00914ECF"/>
    <w:rsid w:val="0092165F"/>
    <w:rsid w:val="00926E4E"/>
    <w:rsid w:val="009271BC"/>
    <w:rsid w:val="009304BF"/>
    <w:rsid w:val="00932885"/>
    <w:rsid w:val="0093320D"/>
    <w:rsid w:val="00935D49"/>
    <w:rsid w:val="00940022"/>
    <w:rsid w:val="00940515"/>
    <w:rsid w:val="00944BB6"/>
    <w:rsid w:val="00945CED"/>
    <w:rsid w:val="00945DC8"/>
    <w:rsid w:val="009562C6"/>
    <w:rsid w:val="009601E4"/>
    <w:rsid w:val="009617FB"/>
    <w:rsid w:val="009620F8"/>
    <w:rsid w:val="00962531"/>
    <w:rsid w:val="009649DC"/>
    <w:rsid w:val="0096508E"/>
    <w:rsid w:val="009657E5"/>
    <w:rsid w:val="0096698A"/>
    <w:rsid w:val="009673B4"/>
    <w:rsid w:val="009715C2"/>
    <w:rsid w:val="009738DB"/>
    <w:rsid w:val="00973CB2"/>
    <w:rsid w:val="00980D1F"/>
    <w:rsid w:val="00980FB9"/>
    <w:rsid w:val="009823BF"/>
    <w:rsid w:val="00982B2A"/>
    <w:rsid w:val="00984CF6"/>
    <w:rsid w:val="00986C73"/>
    <w:rsid w:val="00990E89"/>
    <w:rsid w:val="00994BAC"/>
    <w:rsid w:val="009A0B5F"/>
    <w:rsid w:val="009A5E3B"/>
    <w:rsid w:val="009A6754"/>
    <w:rsid w:val="009B4748"/>
    <w:rsid w:val="009B4FB1"/>
    <w:rsid w:val="009B617D"/>
    <w:rsid w:val="009C07EE"/>
    <w:rsid w:val="009C1C96"/>
    <w:rsid w:val="009C1EC9"/>
    <w:rsid w:val="009C5A80"/>
    <w:rsid w:val="009D56B7"/>
    <w:rsid w:val="009E1434"/>
    <w:rsid w:val="009E3A39"/>
    <w:rsid w:val="009E4CE8"/>
    <w:rsid w:val="009E51A1"/>
    <w:rsid w:val="009F0C2F"/>
    <w:rsid w:val="009F21DE"/>
    <w:rsid w:val="009F38D1"/>
    <w:rsid w:val="009F4EDC"/>
    <w:rsid w:val="009F7BBE"/>
    <w:rsid w:val="00A03D66"/>
    <w:rsid w:val="00A03E28"/>
    <w:rsid w:val="00A06687"/>
    <w:rsid w:val="00A079DC"/>
    <w:rsid w:val="00A11C0E"/>
    <w:rsid w:val="00A16A20"/>
    <w:rsid w:val="00A23BE1"/>
    <w:rsid w:val="00A23EBD"/>
    <w:rsid w:val="00A25673"/>
    <w:rsid w:val="00A266A6"/>
    <w:rsid w:val="00A309BA"/>
    <w:rsid w:val="00A32D3E"/>
    <w:rsid w:val="00A33646"/>
    <w:rsid w:val="00A40639"/>
    <w:rsid w:val="00A426BB"/>
    <w:rsid w:val="00A52DD5"/>
    <w:rsid w:val="00A52E00"/>
    <w:rsid w:val="00A62EF8"/>
    <w:rsid w:val="00A66FE7"/>
    <w:rsid w:val="00A70382"/>
    <w:rsid w:val="00A760A2"/>
    <w:rsid w:val="00A83271"/>
    <w:rsid w:val="00A84975"/>
    <w:rsid w:val="00A865FF"/>
    <w:rsid w:val="00A9021B"/>
    <w:rsid w:val="00A91088"/>
    <w:rsid w:val="00AA1B16"/>
    <w:rsid w:val="00AB5F76"/>
    <w:rsid w:val="00AC0586"/>
    <w:rsid w:val="00AC5E4B"/>
    <w:rsid w:val="00AD2773"/>
    <w:rsid w:val="00AD5E56"/>
    <w:rsid w:val="00AE0187"/>
    <w:rsid w:val="00AE10F0"/>
    <w:rsid w:val="00AE2C7B"/>
    <w:rsid w:val="00AE505E"/>
    <w:rsid w:val="00AF100C"/>
    <w:rsid w:val="00AF1707"/>
    <w:rsid w:val="00AF3424"/>
    <w:rsid w:val="00AF598A"/>
    <w:rsid w:val="00AF5EC9"/>
    <w:rsid w:val="00B01072"/>
    <w:rsid w:val="00B02DE8"/>
    <w:rsid w:val="00B07C73"/>
    <w:rsid w:val="00B1539A"/>
    <w:rsid w:val="00B15492"/>
    <w:rsid w:val="00B17405"/>
    <w:rsid w:val="00B21F75"/>
    <w:rsid w:val="00B22478"/>
    <w:rsid w:val="00B30978"/>
    <w:rsid w:val="00B37E6C"/>
    <w:rsid w:val="00B41D10"/>
    <w:rsid w:val="00B4224A"/>
    <w:rsid w:val="00B50245"/>
    <w:rsid w:val="00B62957"/>
    <w:rsid w:val="00B649A9"/>
    <w:rsid w:val="00B70292"/>
    <w:rsid w:val="00B72F26"/>
    <w:rsid w:val="00B738F4"/>
    <w:rsid w:val="00B74132"/>
    <w:rsid w:val="00B87F4F"/>
    <w:rsid w:val="00B90F36"/>
    <w:rsid w:val="00B913CE"/>
    <w:rsid w:val="00B968F2"/>
    <w:rsid w:val="00BA4A2D"/>
    <w:rsid w:val="00BA4D44"/>
    <w:rsid w:val="00BB07F0"/>
    <w:rsid w:val="00BD060F"/>
    <w:rsid w:val="00BD0B0A"/>
    <w:rsid w:val="00BD46FE"/>
    <w:rsid w:val="00BF1C6A"/>
    <w:rsid w:val="00BF2C87"/>
    <w:rsid w:val="00BF40C0"/>
    <w:rsid w:val="00BF6C87"/>
    <w:rsid w:val="00BF77D9"/>
    <w:rsid w:val="00BF7BC4"/>
    <w:rsid w:val="00BF7D3E"/>
    <w:rsid w:val="00C10B35"/>
    <w:rsid w:val="00C15CF2"/>
    <w:rsid w:val="00C30209"/>
    <w:rsid w:val="00C314F4"/>
    <w:rsid w:val="00C33DC3"/>
    <w:rsid w:val="00C353CA"/>
    <w:rsid w:val="00C449B9"/>
    <w:rsid w:val="00C44C41"/>
    <w:rsid w:val="00C45D82"/>
    <w:rsid w:val="00C47BDD"/>
    <w:rsid w:val="00C50C43"/>
    <w:rsid w:val="00C50EFA"/>
    <w:rsid w:val="00C51CD0"/>
    <w:rsid w:val="00C53114"/>
    <w:rsid w:val="00C55F26"/>
    <w:rsid w:val="00C5677E"/>
    <w:rsid w:val="00C60A51"/>
    <w:rsid w:val="00C74B98"/>
    <w:rsid w:val="00C75EB3"/>
    <w:rsid w:val="00C75F1B"/>
    <w:rsid w:val="00C814A1"/>
    <w:rsid w:val="00C81E66"/>
    <w:rsid w:val="00C86665"/>
    <w:rsid w:val="00C86AAD"/>
    <w:rsid w:val="00C875F2"/>
    <w:rsid w:val="00C9308E"/>
    <w:rsid w:val="00CA1149"/>
    <w:rsid w:val="00CA6FBC"/>
    <w:rsid w:val="00CB658D"/>
    <w:rsid w:val="00CD1175"/>
    <w:rsid w:val="00CD678C"/>
    <w:rsid w:val="00CE4456"/>
    <w:rsid w:val="00CE6ADF"/>
    <w:rsid w:val="00CF12A3"/>
    <w:rsid w:val="00CF1C74"/>
    <w:rsid w:val="00CF236C"/>
    <w:rsid w:val="00D00CA5"/>
    <w:rsid w:val="00D02BE5"/>
    <w:rsid w:val="00D034E0"/>
    <w:rsid w:val="00D06944"/>
    <w:rsid w:val="00D07227"/>
    <w:rsid w:val="00D135FF"/>
    <w:rsid w:val="00D13850"/>
    <w:rsid w:val="00D163EA"/>
    <w:rsid w:val="00D267A5"/>
    <w:rsid w:val="00D504F9"/>
    <w:rsid w:val="00D5142F"/>
    <w:rsid w:val="00D53B12"/>
    <w:rsid w:val="00D62689"/>
    <w:rsid w:val="00D63C76"/>
    <w:rsid w:val="00D71029"/>
    <w:rsid w:val="00D74665"/>
    <w:rsid w:val="00D82953"/>
    <w:rsid w:val="00D833C1"/>
    <w:rsid w:val="00D84A7C"/>
    <w:rsid w:val="00D86022"/>
    <w:rsid w:val="00D86C37"/>
    <w:rsid w:val="00D873B6"/>
    <w:rsid w:val="00D90844"/>
    <w:rsid w:val="00D92488"/>
    <w:rsid w:val="00D93B25"/>
    <w:rsid w:val="00D93BBB"/>
    <w:rsid w:val="00D95297"/>
    <w:rsid w:val="00D9550B"/>
    <w:rsid w:val="00DA3C85"/>
    <w:rsid w:val="00DA7DBB"/>
    <w:rsid w:val="00DC0D2B"/>
    <w:rsid w:val="00DC2B15"/>
    <w:rsid w:val="00DC47BB"/>
    <w:rsid w:val="00DD4680"/>
    <w:rsid w:val="00DE30AF"/>
    <w:rsid w:val="00DE5700"/>
    <w:rsid w:val="00DE5E82"/>
    <w:rsid w:val="00DF095C"/>
    <w:rsid w:val="00DF0FCB"/>
    <w:rsid w:val="00DF2507"/>
    <w:rsid w:val="00E00D38"/>
    <w:rsid w:val="00E04934"/>
    <w:rsid w:val="00E05B65"/>
    <w:rsid w:val="00E13000"/>
    <w:rsid w:val="00E13384"/>
    <w:rsid w:val="00E2458C"/>
    <w:rsid w:val="00E24914"/>
    <w:rsid w:val="00E25DD5"/>
    <w:rsid w:val="00E327D3"/>
    <w:rsid w:val="00E37452"/>
    <w:rsid w:val="00E41D68"/>
    <w:rsid w:val="00E427D4"/>
    <w:rsid w:val="00E43B21"/>
    <w:rsid w:val="00E45AC5"/>
    <w:rsid w:val="00E529F8"/>
    <w:rsid w:val="00E60A0B"/>
    <w:rsid w:val="00E6180F"/>
    <w:rsid w:val="00E82218"/>
    <w:rsid w:val="00E87089"/>
    <w:rsid w:val="00E9447A"/>
    <w:rsid w:val="00E97491"/>
    <w:rsid w:val="00E9766B"/>
    <w:rsid w:val="00EA0E25"/>
    <w:rsid w:val="00EA32C4"/>
    <w:rsid w:val="00EB2018"/>
    <w:rsid w:val="00EB2C19"/>
    <w:rsid w:val="00EC0A71"/>
    <w:rsid w:val="00EC2ABD"/>
    <w:rsid w:val="00EC5BDF"/>
    <w:rsid w:val="00ED2251"/>
    <w:rsid w:val="00ED2266"/>
    <w:rsid w:val="00ED5988"/>
    <w:rsid w:val="00ED5C23"/>
    <w:rsid w:val="00F0331B"/>
    <w:rsid w:val="00F10994"/>
    <w:rsid w:val="00F12F7B"/>
    <w:rsid w:val="00F2141A"/>
    <w:rsid w:val="00F24DF0"/>
    <w:rsid w:val="00F25FB3"/>
    <w:rsid w:val="00F26354"/>
    <w:rsid w:val="00F36D28"/>
    <w:rsid w:val="00F3782F"/>
    <w:rsid w:val="00F42D03"/>
    <w:rsid w:val="00F43606"/>
    <w:rsid w:val="00F61775"/>
    <w:rsid w:val="00F61881"/>
    <w:rsid w:val="00F65704"/>
    <w:rsid w:val="00F84AEC"/>
    <w:rsid w:val="00F933B2"/>
    <w:rsid w:val="00F95B39"/>
    <w:rsid w:val="00FA71CF"/>
    <w:rsid w:val="00FB1102"/>
    <w:rsid w:val="00FC3D4A"/>
    <w:rsid w:val="00FD2626"/>
    <w:rsid w:val="00FD4B44"/>
    <w:rsid w:val="00FD787B"/>
    <w:rsid w:val="00FE3A1F"/>
    <w:rsid w:val="00FE5061"/>
    <w:rsid w:val="00FE7A52"/>
    <w:rsid w:val="00FF5E41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7AF1DAB"/>
  <w15:docId w15:val="{BC2E7CA0-977B-5045-AEC7-434DE57D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33B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27" w:lineRule="exact"/>
    </w:pPr>
    <w:rPr>
      <w:sz w:val="15"/>
    </w:rPr>
  </w:style>
  <w:style w:type="paragraph" w:customStyle="1" w:styleId="Afzenderkolom">
    <w:name w:val="Afzenderkolom"/>
    <w:basedOn w:val="Standaard"/>
    <w:pPr>
      <w:spacing w:line="227" w:lineRule="exact"/>
    </w:pPr>
    <w:rPr>
      <w:sz w:val="15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27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Voet">
    <w:name w:val="KopVoet"/>
    <w:basedOn w:val="Standaard"/>
    <w:pPr>
      <w:tabs>
        <w:tab w:val="left" w:pos="6350"/>
      </w:tabs>
      <w:spacing w:line="240" w:lineRule="auto"/>
    </w:pPr>
    <w:rPr>
      <w:sz w:val="15"/>
    </w:rPr>
  </w:style>
  <w:style w:type="paragraph" w:styleId="Ballontekst">
    <w:name w:val="Balloon Text"/>
    <w:basedOn w:val="Standaard"/>
    <w:link w:val="BallontekstChar"/>
    <w:rsid w:val="00605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05B4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C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handtekening">
    <w:name w:val="E-mail Signature"/>
    <w:basedOn w:val="Standaard"/>
    <w:link w:val="E-mailhandtekeningChar"/>
    <w:uiPriority w:val="99"/>
    <w:unhideWhenUsed/>
    <w:rsid w:val="00CD678C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CD678C"/>
    <w:rPr>
      <w:rFonts w:eastAsiaTheme="minorHAnsi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CD678C"/>
    <w:rPr>
      <w:i/>
      <w:iCs/>
    </w:rPr>
  </w:style>
  <w:style w:type="character" w:styleId="Hyperlink">
    <w:name w:val="Hyperlink"/>
    <w:basedOn w:val="Standaardalinea-lettertype"/>
    <w:uiPriority w:val="99"/>
    <w:rsid w:val="007B0025"/>
    <w:rPr>
      <w:color w:val="0000FF" w:themeColor="hyperlink"/>
      <w:u w:val="single"/>
    </w:rPr>
  </w:style>
  <w:style w:type="paragraph" w:customStyle="1" w:styleId="Default">
    <w:name w:val="Default"/>
    <w:rsid w:val="000314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455DA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48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eenafstand">
    <w:name w:val="No Spacing"/>
    <w:uiPriority w:val="1"/>
    <w:qFormat/>
    <w:rsid w:val="002506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Standaard"/>
    <w:rsid w:val="0027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Standaardalinea-lettertype"/>
    <w:rsid w:val="00833BFE"/>
  </w:style>
  <w:style w:type="character" w:customStyle="1" w:styleId="contextualspellingandgrammarerror">
    <w:name w:val="contextualspellingandgrammarerror"/>
    <w:basedOn w:val="Standaardalinea-lettertype"/>
    <w:rsid w:val="00833BFE"/>
  </w:style>
  <w:style w:type="character" w:customStyle="1" w:styleId="eop">
    <w:name w:val="eop"/>
    <w:basedOn w:val="Standaardalinea-lettertype"/>
    <w:rsid w:val="00ED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25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4424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7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1290">
                          <w:marLeft w:val="0"/>
                          <w:marRight w:val="0"/>
                          <w:marTop w:val="4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2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lwinfrenzen/Library/CloudStorage/OneDrive-PortofRotterdam/Video's/ROT%206.4%20Aanvraag%20op%20een%20palenligplaat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A3FD3BC41AA4FBE9175D84E70A85F" ma:contentTypeVersion="11" ma:contentTypeDescription="Create a new document." ma:contentTypeScope="" ma:versionID="99fb3d036b536fb60e4022f356e85ba7">
  <xsd:schema xmlns:xsd="http://www.w3.org/2001/XMLSchema" xmlns:xs="http://www.w3.org/2001/XMLSchema" xmlns:p="http://schemas.microsoft.com/office/2006/metadata/properties" xmlns:ns3="25c9e24a-d811-48df-b972-42b82b4fda13" xmlns:ns4="f7d9f9bf-1449-42b7-b3d2-c648ddfa45eb" targetNamespace="http://schemas.microsoft.com/office/2006/metadata/properties" ma:root="true" ma:fieldsID="5439bb02e911b017dbfaf2df8b594b9c" ns3:_="" ns4:_="">
    <xsd:import namespace="25c9e24a-d811-48df-b972-42b82b4fda13"/>
    <xsd:import namespace="f7d9f9bf-1449-42b7-b3d2-c648ddfa45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9e24a-d811-48df-b972-42b82b4fd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f9bf-1449-42b7-b3d2-c648ddfa4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1630EA-F882-4D78-B380-6B9C2F399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8423C-05C8-45D4-94D8-76641870A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38C01-7452-4C96-B2ED-A5082917C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9e24a-d811-48df-b972-42b82b4fda13"/>
    <ds:schemaRef ds:uri="f7d9f9bf-1449-42b7-b3d2-c648ddfa4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C108B-879D-4AAD-B314-AB0AA1CD67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 6.4 Aanvraag op een palenligplaats.dotx</Template>
  <TotalTime>1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ontheffing om op een palenligplaats gas tussen twee tankschepen onderling over te slaan zonder externe supervisie</vt:lpstr>
    </vt:vector>
  </TitlesOfParts>
  <Company>Port of Rotterdam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op een palenligplaats</dc:title>
  <dc:subject>aanvraag op een palenligplaats</dc:subject>
  <dc:creator>Microsoft Office User</dc:creator>
  <cp:keywords>aanvraag op een palenligplaats</cp:keywords>
  <cp:lastModifiedBy>Frenzen, Celwin</cp:lastModifiedBy>
  <cp:revision>1</cp:revision>
  <cp:lastPrinted>2018-07-23T15:39:00Z</cp:lastPrinted>
  <dcterms:created xsi:type="dcterms:W3CDTF">2022-06-17T06:43:00Z</dcterms:created>
  <dcterms:modified xsi:type="dcterms:W3CDTF">2022-06-17T06:44:00Z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0x010100F7FA3FD3BC41AA4FBE9175D84E70A85F</vt:lpwstr>
  </property>
  <property fmtid="{D5CDD505-2E9C-101B-9397-08002B2CF9AE}" pid="3" name="Functioneel onderdeel">
    <vt:lpwstr>Wet- en regelgeving bibliotheek</vt:lpwstr>
  </property>
  <property fmtid="{D5CDD505-2E9C-101B-9397-08002B2CF9AE}" pid="4" name="Status">
    <vt:lpwstr/>
  </property>
  <property fmtid="{D5CDD505-2E9C-101B-9397-08002B2CF9AE}" pid="5" name="Procesnaam0">
    <vt:lpwstr>;#Afdelingspagina HCC;#</vt:lpwstr>
  </property>
  <property fmtid="{D5CDD505-2E9C-101B-9397-08002B2CF9AE}" pid="6" name="Processtap0">
    <vt:lpwstr>;#TA.01;#</vt:lpwstr>
  </property>
</Properties>
</file>